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1A42" w14:textId="77777777" w:rsidR="00CA6F63" w:rsidRPr="00E87CF3" w:rsidRDefault="000C5236" w:rsidP="000C5236">
      <w:pPr>
        <w:jc w:val="center"/>
        <w:rPr>
          <w:rFonts w:cstheme="minorHAnsi"/>
          <w:caps/>
          <w:color w:val="0070C0"/>
          <w:sz w:val="24"/>
          <w:szCs w:val="24"/>
        </w:rPr>
      </w:pPr>
      <w:bookmarkStart w:id="0" w:name="_GoBack"/>
      <w:bookmarkEnd w:id="0"/>
      <w:r w:rsidRPr="00E87CF3">
        <w:rPr>
          <w:rFonts w:cstheme="minorHAnsi"/>
          <w:b/>
          <w:bCs/>
          <w:caps/>
          <w:color w:val="0070C0"/>
          <w:sz w:val="24"/>
          <w:szCs w:val="24"/>
        </w:rPr>
        <w:t>Terms &amp; Conditions for Empanelment of</w:t>
      </w:r>
      <w:r w:rsidRPr="00E87CF3">
        <w:rPr>
          <w:rFonts w:cstheme="minorHAnsi"/>
          <w:b/>
          <w:caps/>
          <w:color w:val="0070C0"/>
          <w:sz w:val="24"/>
          <w:szCs w:val="24"/>
        </w:rPr>
        <w:t xml:space="preserve"> </w:t>
      </w:r>
      <w:r w:rsidR="00E33758" w:rsidRPr="00E87CF3">
        <w:rPr>
          <w:rFonts w:cstheme="minorHAnsi"/>
          <w:b/>
          <w:caps/>
          <w:color w:val="0070C0"/>
          <w:sz w:val="24"/>
          <w:szCs w:val="24"/>
        </w:rPr>
        <w:br/>
      </w:r>
      <w:r w:rsidR="00A53794" w:rsidRPr="00E87CF3">
        <w:rPr>
          <w:rFonts w:cstheme="minorHAnsi"/>
          <w:b/>
          <w:bCs/>
          <w:color w:val="0070C0"/>
          <w:sz w:val="24"/>
          <w:szCs w:val="24"/>
        </w:rPr>
        <w:t xml:space="preserve">CONSULTING </w:t>
      </w:r>
      <w:r w:rsidR="00CF5CDE" w:rsidRPr="00E87CF3">
        <w:rPr>
          <w:rFonts w:cstheme="minorHAnsi"/>
          <w:b/>
          <w:bCs/>
          <w:color w:val="0070C0"/>
          <w:sz w:val="24"/>
          <w:szCs w:val="24"/>
        </w:rPr>
        <w:t>FIRMS</w:t>
      </w:r>
      <w:r w:rsidR="00A53794" w:rsidRPr="00E87CF3">
        <w:rPr>
          <w:rFonts w:cstheme="minorHAnsi"/>
          <w:b/>
          <w:bCs/>
          <w:color w:val="0070C0"/>
          <w:sz w:val="24"/>
          <w:szCs w:val="24"/>
        </w:rPr>
        <w:t xml:space="preserve"> FOR FINANCIAL ADVISORY SERVICES</w:t>
      </w:r>
    </w:p>
    <w:p w14:paraId="17B52E05" w14:textId="77777777" w:rsidR="000C5236" w:rsidRPr="00E87CF3" w:rsidRDefault="000C5236" w:rsidP="000C5236">
      <w:pPr>
        <w:spacing w:before="240" w:after="0" w:line="240" w:lineRule="auto"/>
        <w:rPr>
          <w:rFonts w:cstheme="minorHAnsi"/>
          <w:b/>
          <w:sz w:val="24"/>
          <w:szCs w:val="24"/>
        </w:rPr>
      </w:pPr>
      <w:r w:rsidRPr="00E87CF3">
        <w:rPr>
          <w:rFonts w:cstheme="minorHAnsi"/>
          <w:b/>
          <w:sz w:val="24"/>
          <w:szCs w:val="24"/>
        </w:rPr>
        <w:t xml:space="preserve">1. </w:t>
      </w:r>
      <w:r w:rsidRPr="00E87CF3">
        <w:rPr>
          <w:rFonts w:cstheme="minorHAnsi"/>
          <w:b/>
          <w:sz w:val="24"/>
          <w:szCs w:val="24"/>
        </w:rPr>
        <w:tab/>
        <w:t>Purpose</w:t>
      </w:r>
    </w:p>
    <w:p w14:paraId="1CB339B4" w14:textId="77777777" w:rsidR="000C5236" w:rsidRPr="00E87CF3" w:rsidRDefault="000C5236" w:rsidP="002F3EDA">
      <w:pPr>
        <w:spacing w:before="240" w:after="0" w:line="360" w:lineRule="auto"/>
        <w:ind w:left="720"/>
        <w:jc w:val="both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 xml:space="preserve">NITCON proposes to form a </w:t>
      </w:r>
      <w:r w:rsidR="007944C2" w:rsidRPr="00E87CF3">
        <w:rPr>
          <w:rFonts w:cstheme="minorHAnsi"/>
          <w:sz w:val="24"/>
          <w:szCs w:val="24"/>
        </w:rPr>
        <w:t>p</w:t>
      </w:r>
      <w:r w:rsidRPr="00E87CF3">
        <w:rPr>
          <w:rFonts w:cstheme="minorHAnsi"/>
          <w:sz w:val="24"/>
          <w:szCs w:val="24"/>
        </w:rPr>
        <w:t xml:space="preserve">anel of independent and competent </w:t>
      </w:r>
      <w:r w:rsidR="00A53794" w:rsidRPr="00E87CF3">
        <w:rPr>
          <w:rFonts w:cstheme="minorHAnsi"/>
          <w:sz w:val="24"/>
          <w:szCs w:val="24"/>
        </w:rPr>
        <w:t>Banking &amp; Financial Advisory Services firms/ associates for the following service classes</w:t>
      </w:r>
      <w:r w:rsidR="00E87CF3" w:rsidRPr="00E87CF3">
        <w:rPr>
          <w:rFonts w:cstheme="minorHAnsi"/>
          <w:sz w:val="24"/>
          <w:szCs w:val="24"/>
        </w:rPr>
        <w:t xml:space="preserve"> in the middle-large scale enterprise space</w:t>
      </w:r>
      <w:r w:rsidR="00A53794" w:rsidRPr="00E87CF3">
        <w:rPr>
          <w:rFonts w:cstheme="minorHAnsi"/>
          <w:sz w:val="24"/>
          <w:szCs w:val="24"/>
        </w:rPr>
        <w:t>:</w:t>
      </w:r>
    </w:p>
    <w:p w14:paraId="22B97799" w14:textId="77777777" w:rsidR="00E87CF3" w:rsidRPr="00E87CF3" w:rsidRDefault="00E87CF3" w:rsidP="00E87CF3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E87CF3">
        <w:rPr>
          <w:rFonts w:cstheme="minorHAnsi"/>
          <w:sz w:val="24"/>
          <w:szCs w:val="24"/>
          <w:u w:val="single"/>
        </w:rPr>
        <w:t>ARC services</w:t>
      </w:r>
      <w:r w:rsidR="00DD3974">
        <w:rPr>
          <w:rFonts w:cstheme="minorHAnsi"/>
          <w:sz w:val="24"/>
          <w:szCs w:val="24"/>
          <w:u w:val="single"/>
        </w:rPr>
        <w:t xml:space="preserve"> for SMA1, SMA 2, distressed accounts</w:t>
      </w:r>
      <w:r w:rsidRPr="00E87CF3">
        <w:rPr>
          <w:rFonts w:cstheme="minorHAnsi"/>
          <w:sz w:val="24"/>
          <w:szCs w:val="24"/>
          <w:u w:val="single"/>
        </w:rPr>
        <w:t>:</w:t>
      </w:r>
    </w:p>
    <w:p w14:paraId="402DEDD1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Creation of structured mechanisms/ models for early diagnosis of financial distress.</w:t>
      </w:r>
    </w:p>
    <w:p w14:paraId="3D093E79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Legal and financial review / additional due-diligence on cases before arbitration/tribunals.</w:t>
      </w:r>
    </w:p>
    <w:p w14:paraId="26AE6FBD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Evaluation of financial re-structuring options including structured financial solutions.</w:t>
      </w:r>
    </w:p>
    <w:p w14:paraId="0D017FF4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Hand-holding company’s board and directors/ legal teams through building consensus with joint lenders forums on proposed solutions.</w:t>
      </w:r>
    </w:p>
    <w:p w14:paraId="0D966266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Identification of distressed asset buying funds.</w:t>
      </w:r>
    </w:p>
    <w:p w14:paraId="5D49A3B7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Preparation of information memoranda (IM) and pitches to potential ARC’s.</w:t>
      </w:r>
    </w:p>
    <w:p w14:paraId="6D1A9A50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Closure of transaction and assistance in definitive agreements with ARC’s etc.</w:t>
      </w:r>
    </w:p>
    <w:p w14:paraId="309EF26A" w14:textId="77777777" w:rsidR="00E87CF3" w:rsidRPr="00E87CF3" w:rsidRDefault="00E87CF3" w:rsidP="00E87CF3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E87CF3">
        <w:rPr>
          <w:rFonts w:cstheme="minorHAnsi"/>
          <w:sz w:val="24"/>
          <w:szCs w:val="24"/>
          <w:u w:val="single"/>
        </w:rPr>
        <w:t>Financial advisory services:</w:t>
      </w:r>
    </w:p>
    <w:p w14:paraId="5CC69004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Financial performance evaluation and identification of areas of underperforming value.</w:t>
      </w:r>
    </w:p>
    <w:p w14:paraId="488FDC8B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Strategies to unlock value on balance sheets including structured financial options, disinvestment/ changes in SHP’s, M&amp;A, de-mergers and subsidiarization of operations.</w:t>
      </w:r>
    </w:p>
    <w:p w14:paraId="520C9A56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Enhancing earnings (EPS) on the P/L Account through reduced WACC (Weighted Average Cost of Capital) options.</w:t>
      </w:r>
    </w:p>
    <w:p w14:paraId="4889A6EA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lastRenderedPageBreak/>
        <w:t>Peer benchmarking of management efficiency, liquidity, returns, growth indicators and advice on lagging / leading indicators.</w:t>
      </w:r>
    </w:p>
    <w:p w14:paraId="63D53865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Enhance FCF (Free Cash Flow) and optimize tax outflows.</w:t>
      </w:r>
    </w:p>
    <w:p w14:paraId="05E16F49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Financial strategic planning with a net worth &amp; valuation enhancement view.</w:t>
      </w:r>
    </w:p>
    <w:p w14:paraId="3476E8E9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Enterprise risk management with regard to capital structure (including forex) risks management.</w:t>
      </w:r>
    </w:p>
    <w:p w14:paraId="50D1FE9F" w14:textId="77777777" w:rsidR="00E87CF3" w:rsidRPr="00E87CF3" w:rsidRDefault="00E87CF3" w:rsidP="00E87CF3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u w:val="single"/>
        </w:rPr>
      </w:pPr>
      <w:r w:rsidRPr="00E87CF3">
        <w:rPr>
          <w:rFonts w:cstheme="minorHAnsi"/>
          <w:sz w:val="24"/>
          <w:szCs w:val="24"/>
          <w:u w:val="single"/>
        </w:rPr>
        <w:t>Transaction advisory services:</w:t>
      </w:r>
    </w:p>
    <w:p w14:paraId="2321FAA5" w14:textId="723E9FDB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Structuring of M</w:t>
      </w:r>
      <w:r w:rsidR="0071322B">
        <w:rPr>
          <w:rFonts w:cstheme="minorHAnsi"/>
          <w:sz w:val="24"/>
          <w:szCs w:val="24"/>
        </w:rPr>
        <w:t xml:space="preserve"> </w:t>
      </w:r>
      <w:r w:rsidRPr="00E87CF3">
        <w:rPr>
          <w:rFonts w:cstheme="minorHAnsi"/>
          <w:sz w:val="24"/>
          <w:szCs w:val="24"/>
        </w:rPr>
        <w:t>&amp;</w:t>
      </w:r>
      <w:r w:rsidR="0071322B">
        <w:rPr>
          <w:rFonts w:cstheme="minorHAnsi"/>
          <w:sz w:val="24"/>
          <w:szCs w:val="24"/>
        </w:rPr>
        <w:t xml:space="preserve"> </w:t>
      </w:r>
      <w:r w:rsidRPr="00E87CF3">
        <w:rPr>
          <w:rFonts w:cstheme="minorHAnsi"/>
          <w:sz w:val="24"/>
          <w:szCs w:val="24"/>
        </w:rPr>
        <w:t>A deals.</w:t>
      </w:r>
    </w:p>
    <w:p w14:paraId="69996075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Financial and legal due diligence on acquisition targets and merger opportunities.</w:t>
      </w:r>
    </w:p>
    <w:p w14:paraId="3C166483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Structured fund options, instruments and scenario building.</w:t>
      </w:r>
    </w:p>
    <w:p w14:paraId="421AC0AB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Backward linkages to funds and availability of funding.</w:t>
      </w:r>
    </w:p>
    <w:p w14:paraId="175E3A1D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Preparation of IM’s and pitches to funds.</w:t>
      </w:r>
    </w:p>
    <w:p w14:paraId="14E823C9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QIP (Qualified Institutional Placement) management.</w:t>
      </w:r>
    </w:p>
    <w:p w14:paraId="28B180CE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IPO management including drafting of DRHP (Draft Red Herring Prospectus).</w:t>
      </w:r>
    </w:p>
    <w:p w14:paraId="3CA72DD0" w14:textId="77777777" w:rsidR="00E87CF3" w:rsidRPr="00E87CF3" w:rsidRDefault="00E87CF3" w:rsidP="00E87CF3">
      <w:pPr>
        <w:pStyle w:val="ListParagraph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Venture Capital funding backward linkages and valuations.</w:t>
      </w:r>
    </w:p>
    <w:p w14:paraId="74954945" w14:textId="77777777" w:rsidR="000C5236" w:rsidRPr="00E87CF3" w:rsidRDefault="000C5236" w:rsidP="002F3EDA">
      <w:pPr>
        <w:spacing w:before="240" w:after="0"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b/>
          <w:sz w:val="24"/>
          <w:szCs w:val="24"/>
        </w:rPr>
        <w:t xml:space="preserve">2. </w:t>
      </w:r>
      <w:r w:rsidRPr="00E87CF3">
        <w:rPr>
          <w:rFonts w:cstheme="minorHAnsi"/>
          <w:b/>
          <w:sz w:val="24"/>
          <w:szCs w:val="24"/>
        </w:rPr>
        <w:tab/>
        <w:t>Minimum Eligibility Criteria</w:t>
      </w:r>
    </w:p>
    <w:p w14:paraId="1E28CB90" w14:textId="77777777" w:rsidR="000C5236" w:rsidRPr="00E87CF3" w:rsidRDefault="000C5236" w:rsidP="00DD3974">
      <w:pPr>
        <w:spacing w:before="240" w:after="0" w:line="360" w:lineRule="auto"/>
        <w:ind w:left="720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 xml:space="preserve">The minimum eligibility </w:t>
      </w:r>
      <w:r w:rsidR="009849B5" w:rsidRPr="00E87CF3">
        <w:rPr>
          <w:rFonts w:cstheme="minorHAnsi"/>
          <w:sz w:val="24"/>
          <w:szCs w:val="24"/>
        </w:rPr>
        <w:t>criteria for the Business Associates are</w:t>
      </w:r>
      <w:r w:rsidR="00035D86" w:rsidRPr="00E87CF3">
        <w:rPr>
          <w:rFonts w:cstheme="minorHAnsi"/>
          <w:sz w:val="24"/>
          <w:szCs w:val="24"/>
        </w:rPr>
        <w:t xml:space="preserve"> </w:t>
      </w:r>
      <w:r w:rsidRPr="00E87CF3">
        <w:rPr>
          <w:rFonts w:cstheme="minorHAnsi"/>
          <w:sz w:val="24"/>
          <w:szCs w:val="24"/>
        </w:rPr>
        <w:t xml:space="preserve">provided </w:t>
      </w:r>
      <w:r w:rsidR="00294495" w:rsidRPr="00E87CF3">
        <w:rPr>
          <w:rFonts w:cstheme="minorHAnsi"/>
          <w:sz w:val="24"/>
          <w:szCs w:val="24"/>
        </w:rPr>
        <w:t>in</w:t>
      </w:r>
      <w:r w:rsidRPr="00E87CF3">
        <w:rPr>
          <w:rFonts w:cstheme="minorHAnsi"/>
          <w:sz w:val="24"/>
          <w:szCs w:val="24"/>
        </w:rPr>
        <w:t xml:space="preserve"> </w:t>
      </w:r>
      <w:r w:rsidRPr="00E87CF3">
        <w:rPr>
          <w:rFonts w:cstheme="minorHAnsi"/>
          <w:b/>
          <w:sz w:val="24"/>
          <w:szCs w:val="24"/>
        </w:rPr>
        <w:t>Annexure‐</w:t>
      </w:r>
      <w:r w:rsidR="00C56FA8" w:rsidRPr="00E87CF3">
        <w:rPr>
          <w:rFonts w:cstheme="minorHAnsi"/>
          <w:b/>
          <w:sz w:val="24"/>
          <w:szCs w:val="24"/>
        </w:rPr>
        <w:t>A</w:t>
      </w:r>
      <w:r w:rsidRPr="00E87CF3">
        <w:rPr>
          <w:rFonts w:cstheme="minorHAnsi"/>
          <w:sz w:val="24"/>
          <w:szCs w:val="24"/>
        </w:rPr>
        <w:t>.</w:t>
      </w:r>
    </w:p>
    <w:p w14:paraId="1E161195" w14:textId="77777777" w:rsidR="000C5236" w:rsidRPr="00E87CF3" w:rsidRDefault="000C5236" w:rsidP="002F3EDA">
      <w:pPr>
        <w:spacing w:before="240" w:after="0"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b/>
          <w:sz w:val="24"/>
          <w:szCs w:val="24"/>
        </w:rPr>
        <w:t xml:space="preserve">3.  </w:t>
      </w:r>
      <w:r w:rsidRPr="00E87CF3">
        <w:rPr>
          <w:rFonts w:cstheme="minorHAnsi"/>
          <w:b/>
          <w:sz w:val="24"/>
          <w:szCs w:val="24"/>
        </w:rPr>
        <w:tab/>
        <w:t>Application Submission Guidelines</w:t>
      </w:r>
    </w:p>
    <w:p w14:paraId="4FAD326E" w14:textId="77777777" w:rsidR="000C5236" w:rsidRPr="00E87CF3" w:rsidRDefault="000C5236" w:rsidP="002F3EDA">
      <w:pPr>
        <w:spacing w:before="240" w:after="0"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 xml:space="preserve"> </w:t>
      </w:r>
      <w:r w:rsidRPr="00E87CF3">
        <w:rPr>
          <w:rFonts w:cstheme="minorHAnsi"/>
          <w:sz w:val="24"/>
          <w:szCs w:val="24"/>
        </w:rPr>
        <w:tab/>
        <w:t>The application shall be submitted in accordance with the following guidelines:</w:t>
      </w:r>
    </w:p>
    <w:p w14:paraId="427493BB" w14:textId="77777777" w:rsidR="000C5236" w:rsidRPr="00E87CF3" w:rsidRDefault="000C5236" w:rsidP="002F3EDA">
      <w:pPr>
        <w:spacing w:before="120" w:after="0"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 xml:space="preserve">(i) </w:t>
      </w:r>
      <w:r w:rsidRPr="00E87CF3">
        <w:rPr>
          <w:rFonts w:cstheme="minorHAnsi"/>
          <w:sz w:val="24"/>
          <w:szCs w:val="24"/>
        </w:rPr>
        <w:tab/>
        <w:t xml:space="preserve">One </w:t>
      </w:r>
      <w:r w:rsidR="00DD3974">
        <w:rPr>
          <w:rFonts w:cstheme="minorHAnsi"/>
          <w:sz w:val="24"/>
          <w:szCs w:val="24"/>
        </w:rPr>
        <w:t>firm</w:t>
      </w:r>
      <w:r w:rsidRPr="00E87CF3">
        <w:rPr>
          <w:rFonts w:cstheme="minorHAnsi"/>
          <w:sz w:val="24"/>
          <w:szCs w:val="24"/>
        </w:rPr>
        <w:t xml:space="preserve"> shall submit only a single application and cannot be a constituent to any other application.</w:t>
      </w:r>
    </w:p>
    <w:p w14:paraId="0D544ABF" w14:textId="77777777" w:rsidR="000C5236" w:rsidRPr="00E87CF3" w:rsidRDefault="000C5236" w:rsidP="002F3EDA">
      <w:pPr>
        <w:spacing w:before="120" w:after="0"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 xml:space="preserve">(ii) </w:t>
      </w:r>
      <w:r w:rsidRPr="00E87CF3">
        <w:rPr>
          <w:rFonts w:cstheme="minorHAnsi"/>
          <w:sz w:val="24"/>
          <w:szCs w:val="24"/>
        </w:rPr>
        <w:tab/>
      </w:r>
      <w:r w:rsidR="00DD3974">
        <w:rPr>
          <w:rFonts w:cstheme="minorHAnsi"/>
          <w:sz w:val="24"/>
          <w:szCs w:val="24"/>
        </w:rPr>
        <w:t>Documents</w:t>
      </w:r>
      <w:r w:rsidRPr="00E87CF3">
        <w:rPr>
          <w:rFonts w:cstheme="minorHAnsi"/>
          <w:sz w:val="24"/>
          <w:szCs w:val="24"/>
        </w:rPr>
        <w:t xml:space="preserve"> shall be submitted </w:t>
      </w:r>
      <w:r w:rsidR="00DD3974">
        <w:rPr>
          <w:rFonts w:cstheme="minorHAnsi"/>
          <w:sz w:val="24"/>
          <w:szCs w:val="24"/>
        </w:rPr>
        <w:t>as</w:t>
      </w:r>
      <w:r w:rsidRPr="00E87CF3">
        <w:rPr>
          <w:rFonts w:cstheme="minorHAnsi"/>
          <w:sz w:val="24"/>
          <w:szCs w:val="24"/>
        </w:rPr>
        <w:t xml:space="preserve"> prescribed </w:t>
      </w:r>
      <w:r w:rsidR="00294495" w:rsidRPr="00E87CF3">
        <w:rPr>
          <w:rFonts w:cstheme="minorHAnsi"/>
          <w:sz w:val="24"/>
          <w:szCs w:val="24"/>
        </w:rPr>
        <w:t>in</w:t>
      </w:r>
      <w:r w:rsidRPr="00E87CF3">
        <w:rPr>
          <w:rFonts w:cstheme="minorHAnsi"/>
          <w:sz w:val="24"/>
          <w:szCs w:val="24"/>
        </w:rPr>
        <w:t xml:space="preserve"> </w:t>
      </w:r>
      <w:r w:rsidRPr="00E87CF3">
        <w:rPr>
          <w:rFonts w:cstheme="minorHAnsi"/>
          <w:b/>
          <w:sz w:val="24"/>
          <w:szCs w:val="24"/>
        </w:rPr>
        <w:t>Annexure‐</w:t>
      </w:r>
      <w:r w:rsidR="00C56FA8" w:rsidRPr="00E87CF3">
        <w:rPr>
          <w:rFonts w:cstheme="minorHAnsi"/>
          <w:b/>
          <w:sz w:val="24"/>
          <w:szCs w:val="24"/>
        </w:rPr>
        <w:t>B</w:t>
      </w:r>
      <w:r w:rsidRPr="00E87CF3">
        <w:rPr>
          <w:rFonts w:cstheme="minorHAnsi"/>
          <w:b/>
          <w:sz w:val="24"/>
          <w:szCs w:val="24"/>
        </w:rPr>
        <w:t>.</w:t>
      </w:r>
    </w:p>
    <w:p w14:paraId="75C444BF" w14:textId="77777777" w:rsidR="000C5236" w:rsidRPr="00E87CF3" w:rsidRDefault="00AD306E" w:rsidP="002F3EDA">
      <w:pPr>
        <w:spacing w:before="120" w:after="0"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lastRenderedPageBreak/>
        <w:t>(iii</w:t>
      </w:r>
      <w:r w:rsidR="000C5236" w:rsidRPr="00E87CF3">
        <w:rPr>
          <w:rFonts w:cstheme="minorHAnsi"/>
          <w:sz w:val="24"/>
          <w:szCs w:val="24"/>
        </w:rPr>
        <w:t xml:space="preserve">) </w:t>
      </w:r>
      <w:r w:rsidR="000C5236" w:rsidRPr="00E87CF3">
        <w:rPr>
          <w:rFonts w:cstheme="minorHAnsi"/>
          <w:sz w:val="24"/>
          <w:szCs w:val="24"/>
        </w:rPr>
        <w:tab/>
        <w:t>The application shall be unconditional; otherwise it would be liable for rejection.</w:t>
      </w:r>
    </w:p>
    <w:p w14:paraId="058E388B" w14:textId="77777777" w:rsidR="000C5236" w:rsidRPr="00E87CF3" w:rsidRDefault="000C5236" w:rsidP="002F3EDA">
      <w:pPr>
        <w:spacing w:before="120" w:after="0"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(</w:t>
      </w:r>
      <w:r w:rsidR="00AD306E" w:rsidRPr="00E87CF3">
        <w:rPr>
          <w:rFonts w:cstheme="minorHAnsi"/>
          <w:sz w:val="24"/>
          <w:szCs w:val="24"/>
        </w:rPr>
        <w:t>i</w:t>
      </w:r>
      <w:r w:rsidRPr="00E87CF3">
        <w:rPr>
          <w:rFonts w:cstheme="minorHAnsi"/>
          <w:sz w:val="24"/>
          <w:szCs w:val="24"/>
        </w:rPr>
        <w:t>v)</w:t>
      </w:r>
      <w:r w:rsidR="00AD306E" w:rsidRPr="00E87CF3">
        <w:rPr>
          <w:rFonts w:cstheme="minorHAnsi"/>
          <w:sz w:val="24"/>
          <w:szCs w:val="24"/>
        </w:rPr>
        <w:tab/>
      </w:r>
      <w:r w:rsidRPr="00E87CF3">
        <w:rPr>
          <w:rFonts w:cstheme="minorHAnsi"/>
          <w:sz w:val="24"/>
          <w:szCs w:val="24"/>
        </w:rPr>
        <w:t>All the information/details are to be supported by authentic documents duly certified by the Applicant.</w:t>
      </w:r>
    </w:p>
    <w:p w14:paraId="3C1BE85D" w14:textId="77777777" w:rsidR="000C5236" w:rsidRPr="00E87CF3" w:rsidRDefault="000C5236" w:rsidP="002F3EDA">
      <w:pPr>
        <w:spacing w:before="120" w:after="0" w:line="360" w:lineRule="auto"/>
        <w:ind w:left="1440" w:hanging="720"/>
        <w:jc w:val="both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 xml:space="preserve">(v) </w:t>
      </w:r>
      <w:r w:rsidRPr="00E87CF3">
        <w:rPr>
          <w:rFonts w:cstheme="minorHAnsi"/>
          <w:sz w:val="24"/>
          <w:szCs w:val="24"/>
        </w:rPr>
        <w:tab/>
        <w:t>Applications shall be submitted in a sealed envelope titled ‘Applicati</w:t>
      </w:r>
      <w:r w:rsidR="00F70C7B">
        <w:rPr>
          <w:rFonts w:cstheme="minorHAnsi"/>
          <w:sz w:val="24"/>
          <w:szCs w:val="24"/>
        </w:rPr>
        <w:t>on f</w:t>
      </w:r>
      <w:r w:rsidR="006164B2" w:rsidRPr="00E87CF3">
        <w:rPr>
          <w:rFonts w:cstheme="minorHAnsi"/>
          <w:sz w:val="24"/>
          <w:szCs w:val="24"/>
        </w:rPr>
        <w:t>or Empanelment</w:t>
      </w:r>
      <w:r w:rsidR="00F70C7B">
        <w:rPr>
          <w:rFonts w:cstheme="minorHAnsi"/>
          <w:sz w:val="24"/>
          <w:szCs w:val="24"/>
        </w:rPr>
        <w:t>’</w:t>
      </w:r>
      <w:r w:rsidR="006164B2" w:rsidRPr="00E87CF3">
        <w:rPr>
          <w:rFonts w:cstheme="minorHAnsi"/>
          <w:sz w:val="24"/>
          <w:szCs w:val="24"/>
        </w:rPr>
        <w:t xml:space="preserve"> of</w:t>
      </w:r>
      <w:r w:rsidRPr="00E87CF3">
        <w:rPr>
          <w:rFonts w:cstheme="minorHAnsi"/>
          <w:sz w:val="24"/>
          <w:szCs w:val="24"/>
        </w:rPr>
        <w:t xml:space="preserve"> NITCON. </w:t>
      </w:r>
    </w:p>
    <w:p w14:paraId="15AE16A6" w14:textId="77777777" w:rsidR="000C5236" w:rsidRPr="00E87CF3" w:rsidRDefault="000C5236" w:rsidP="002F3EDA">
      <w:pPr>
        <w:spacing w:before="240" w:after="0"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b/>
          <w:sz w:val="24"/>
          <w:szCs w:val="24"/>
        </w:rPr>
        <w:t xml:space="preserve">4.  </w:t>
      </w:r>
      <w:r w:rsidRPr="00E87CF3">
        <w:rPr>
          <w:rFonts w:cstheme="minorHAnsi"/>
          <w:b/>
          <w:sz w:val="24"/>
          <w:szCs w:val="24"/>
        </w:rPr>
        <w:tab/>
        <w:t>Empanelment Period</w:t>
      </w:r>
      <w:r w:rsidR="00DD3974">
        <w:rPr>
          <w:rFonts w:cstheme="minorHAnsi"/>
          <w:b/>
          <w:sz w:val="24"/>
          <w:szCs w:val="24"/>
        </w:rPr>
        <w:t xml:space="preserve"> for firms:</w:t>
      </w:r>
    </w:p>
    <w:p w14:paraId="52A79022" w14:textId="07B0F9EF" w:rsidR="000C5236" w:rsidRDefault="00345FF9" w:rsidP="003C3BA4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3C3BA4">
        <w:rPr>
          <w:rFonts w:cstheme="minorHAnsi"/>
          <w:sz w:val="24"/>
          <w:szCs w:val="24"/>
        </w:rPr>
        <w:t>The Business Associate</w:t>
      </w:r>
      <w:r w:rsidR="002315D0" w:rsidRPr="003C3BA4">
        <w:rPr>
          <w:rFonts w:cstheme="minorHAnsi"/>
          <w:sz w:val="24"/>
          <w:szCs w:val="24"/>
        </w:rPr>
        <w:t xml:space="preserve"> firm</w:t>
      </w:r>
      <w:r w:rsidRPr="003C3BA4">
        <w:rPr>
          <w:rFonts w:cstheme="minorHAnsi"/>
          <w:sz w:val="24"/>
          <w:szCs w:val="24"/>
        </w:rPr>
        <w:t xml:space="preserve"> </w:t>
      </w:r>
      <w:r w:rsidR="000C5236" w:rsidRPr="003C3BA4">
        <w:rPr>
          <w:rFonts w:cstheme="minorHAnsi"/>
          <w:sz w:val="24"/>
          <w:szCs w:val="24"/>
        </w:rPr>
        <w:t xml:space="preserve">shall be </w:t>
      </w:r>
      <w:r w:rsidR="00E87CF3" w:rsidRPr="003C3BA4">
        <w:rPr>
          <w:rFonts w:cstheme="minorHAnsi"/>
          <w:sz w:val="24"/>
          <w:szCs w:val="24"/>
        </w:rPr>
        <w:t>empaneled</w:t>
      </w:r>
      <w:r w:rsidR="000C5236" w:rsidRPr="003C3BA4">
        <w:rPr>
          <w:rFonts w:cstheme="minorHAnsi"/>
          <w:sz w:val="24"/>
          <w:szCs w:val="24"/>
        </w:rPr>
        <w:t xml:space="preserve"> for a period of </w:t>
      </w:r>
      <w:r w:rsidR="00595FCA" w:rsidRPr="003C3BA4">
        <w:rPr>
          <w:rFonts w:cstheme="minorHAnsi"/>
          <w:sz w:val="24"/>
          <w:szCs w:val="24"/>
        </w:rPr>
        <w:t>3</w:t>
      </w:r>
      <w:r w:rsidR="000C5236" w:rsidRPr="003C3BA4">
        <w:rPr>
          <w:rFonts w:cstheme="minorHAnsi"/>
          <w:sz w:val="24"/>
          <w:szCs w:val="24"/>
        </w:rPr>
        <w:t xml:space="preserve"> years</w:t>
      </w:r>
      <w:r w:rsidRPr="003C3BA4">
        <w:rPr>
          <w:rFonts w:cstheme="minorHAnsi"/>
          <w:sz w:val="24"/>
          <w:szCs w:val="24"/>
        </w:rPr>
        <w:t xml:space="preserve"> on payment </w:t>
      </w:r>
      <w:r w:rsidR="00E87CF3" w:rsidRPr="003C3BA4">
        <w:rPr>
          <w:rFonts w:cstheme="minorHAnsi"/>
          <w:sz w:val="24"/>
          <w:szCs w:val="24"/>
        </w:rPr>
        <w:t xml:space="preserve">of </w:t>
      </w:r>
      <w:r w:rsidR="00DD3974" w:rsidRPr="003C3BA4">
        <w:rPr>
          <w:rFonts w:cstheme="minorHAnsi"/>
          <w:sz w:val="24"/>
          <w:szCs w:val="24"/>
        </w:rPr>
        <w:t xml:space="preserve">a fee of </w:t>
      </w:r>
      <w:r w:rsidR="00E87CF3" w:rsidRPr="003C3BA4">
        <w:rPr>
          <w:rFonts w:cstheme="minorHAnsi"/>
          <w:sz w:val="24"/>
          <w:szCs w:val="24"/>
        </w:rPr>
        <w:t>INR</w:t>
      </w:r>
      <w:r w:rsidR="005076C3" w:rsidRPr="003C3BA4">
        <w:rPr>
          <w:rFonts w:cstheme="minorHAnsi"/>
          <w:sz w:val="24"/>
          <w:szCs w:val="24"/>
        </w:rPr>
        <w:t xml:space="preserve"> </w:t>
      </w:r>
      <w:r w:rsidR="0018153F" w:rsidRPr="003C3BA4">
        <w:rPr>
          <w:rFonts w:cstheme="minorHAnsi"/>
          <w:sz w:val="24"/>
          <w:szCs w:val="24"/>
        </w:rPr>
        <w:t>5</w:t>
      </w:r>
      <w:r w:rsidR="005076C3" w:rsidRPr="003C3BA4">
        <w:rPr>
          <w:rFonts w:cstheme="minorHAnsi"/>
          <w:sz w:val="24"/>
          <w:szCs w:val="24"/>
        </w:rPr>
        <w:t xml:space="preserve">0,000/- </w:t>
      </w:r>
      <w:r w:rsidR="00FD3AF3" w:rsidRPr="003C3BA4">
        <w:rPr>
          <w:rFonts w:cstheme="minorHAnsi"/>
          <w:sz w:val="24"/>
          <w:szCs w:val="24"/>
        </w:rPr>
        <w:t>and Security</w:t>
      </w:r>
      <w:r w:rsidR="003C3BA4" w:rsidRPr="003C3BA4">
        <w:rPr>
          <w:rFonts w:cstheme="minorHAnsi"/>
          <w:sz w:val="24"/>
          <w:szCs w:val="24"/>
        </w:rPr>
        <w:t xml:space="preserve"> of Rs. 1000/-, </w:t>
      </w:r>
      <w:r w:rsidR="005076C3" w:rsidRPr="003C3BA4">
        <w:rPr>
          <w:rFonts w:cstheme="minorHAnsi"/>
          <w:sz w:val="24"/>
          <w:szCs w:val="24"/>
        </w:rPr>
        <w:t>by draft to NITCON Limited</w:t>
      </w:r>
      <w:r w:rsidR="00F70C7B" w:rsidRPr="003C3BA4">
        <w:rPr>
          <w:rFonts w:cstheme="minorHAnsi"/>
          <w:sz w:val="24"/>
          <w:szCs w:val="24"/>
        </w:rPr>
        <w:t>, payable at par in New Delhi.</w:t>
      </w:r>
      <w:r w:rsidR="000C5236" w:rsidRPr="003C3BA4">
        <w:rPr>
          <w:rFonts w:cstheme="minorHAnsi"/>
          <w:sz w:val="24"/>
          <w:szCs w:val="24"/>
        </w:rPr>
        <w:t xml:space="preserve"> </w:t>
      </w:r>
      <w:r w:rsidR="002315D0" w:rsidRPr="003C3BA4">
        <w:rPr>
          <w:rFonts w:cstheme="minorHAnsi"/>
          <w:sz w:val="24"/>
          <w:szCs w:val="24"/>
        </w:rPr>
        <w:t xml:space="preserve">This fee shall be refundable only in cases of non-selection of applicant firms for empanelment. </w:t>
      </w:r>
      <w:r w:rsidR="003C3BA4" w:rsidRPr="003C3BA4">
        <w:rPr>
          <w:rFonts w:cstheme="minorHAnsi"/>
          <w:sz w:val="24"/>
          <w:szCs w:val="24"/>
        </w:rPr>
        <w:t xml:space="preserve">Security amount will be returned without interest on termination of contract mutually. </w:t>
      </w:r>
      <w:r w:rsidR="00F70C7B" w:rsidRPr="003C3BA4">
        <w:rPr>
          <w:rFonts w:cstheme="minorHAnsi"/>
          <w:sz w:val="24"/>
          <w:szCs w:val="24"/>
        </w:rPr>
        <w:t>The performance as ‘empaneled consultant/ associate’ shall be reviewed annually by NITCON</w:t>
      </w:r>
      <w:r w:rsidR="000C5236" w:rsidRPr="003C3BA4">
        <w:rPr>
          <w:rFonts w:cstheme="minorHAnsi"/>
          <w:sz w:val="24"/>
          <w:szCs w:val="24"/>
        </w:rPr>
        <w:t xml:space="preserve">. NITCON reserves its right to de‐list the name of the </w:t>
      </w:r>
      <w:r w:rsidR="00F70C7B" w:rsidRPr="003C3BA4">
        <w:rPr>
          <w:rFonts w:cstheme="minorHAnsi"/>
          <w:sz w:val="24"/>
          <w:szCs w:val="24"/>
        </w:rPr>
        <w:t>business a</w:t>
      </w:r>
      <w:r w:rsidR="00A47684" w:rsidRPr="003C3BA4">
        <w:rPr>
          <w:rFonts w:cstheme="minorHAnsi"/>
          <w:sz w:val="24"/>
          <w:szCs w:val="24"/>
        </w:rPr>
        <w:t>ssociate</w:t>
      </w:r>
      <w:r w:rsidR="000C5236" w:rsidRPr="003C3BA4">
        <w:rPr>
          <w:rFonts w:cstheme="minorHAnsi"/>
          <w:sz w:val="24"/>
          <w:szCs w:val="24"/>
        </w:rPr>
        <w:t xml:space="preserve"> at any stage, </w:t>
      </w:r>
      <w:r w:rsidR="00DD3974" w:rsidRPr="003C3BA4">
        <w:rPr>
          <w:rFonts w:cstheme="minorHAnsi"/>
          <w:sz w:val="24"/>
          <w:szCs w:val="24"/>
        </w:rPr>
        <w:t>by the competent authority of NITCON</w:t>
      </w:r>
      <w:r w:rsidR="000C5236" w:rsidRPr="003C3BA4">
        <w:rPr>
          <w:rFonts w:cstheme="minorHAnsi"/>
          <w:sz w:val="24"/>
          <w:szCs w:val="24"/>
        </w:rPr>
        <w:t xml:space="preserve"> </w:t>
      </w:r>
      <w:r w:rsidR="00DD3974" w:rsidRPr="003C3BA4">
        <w:rPr>
          <w:rFonts w:cstheme="minorHAnsi"/>
          <w:sz w:val="24"/>
          <w:szCs w:val="24"/>
        </w:rPr>
        <w:t xml:space="preserve">at its own discretion without assigning reasons thereof. </w:t>
      </w:r>
      <w:r w:rsidR="002315D0" w:rsidRPr="003C3BA4">
        <w:rPr>
          <w:rFonts w:cstheme="minorHAnsi"/>
          <w:sz w:val="24"/>
          <w:szCs w:val="24"/>
        </w:rPr>
        <w:t>Post-empanelment, NITCON shall not refund the empanelment fee to the firm for any reason whatsoever.</w:t>
      </w:r>
    </w:p>
    <w:p w14:paraId="2B710B49" w14:textId="0501A83D" w:rsidR="003C3BA4" w:rsidRDefault="003C3BA4" w:rsidP="003C3BA4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Selected Business Associate will be required to sign a MoU with NITCON for a period of Three years.</w:t>
      </w:r>
    </w:p>
    <w:p w14:paraId="2B9FD4B3" w14:textId="768EF2B8" w:rsidR="003C3BA4" w:rsidRPr="003C3BA4" w:rsidRDefault="004B5C63" w:rsidP="003C3BA4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implementation of any Project through the Business Associate a SLA will be required to be executed between NITCON and the Business Associate.</w:t>
      </w:r>
    </w:p>
    <w:p w14:paraId="01513A2D" w14:textId="77777777" w:rsidR="00DD3974" w:rsidRPr="00DD3974" w:rsidRDefault="00DD3974" w:rsidP="00DD3974">
      <w:pPr>
        <w:spacing w:before="240" w:after="0" w:line="360" w:lineRule="auto"/>
        <w:jc w:val="both"/>
        <w:rPr>
          <w:rFonts w:cstheme="minorHAnsi"/>
          <w:b/>
          <w:sz w:val="24"/>
          <w:szCs w:val="24"/>
        </w:rPr>
      </w:pPr>
      <w:r w:rsidRPr="00DD3974">
        <w:rPr>
          <w:rFonts w:cstheme="minorHAnsi"/>
          <w:b/>
          <w:sz w:val="24"/>
          <w:szCs w:val="24"/>
        </w:rPr>
        <w:t xml:space="preserve">5. </w:t>
      </w:r>
      <w:r w:rsidRPr="00DD3974">
        <w:rPr>
          <w:rFonts w:cstheme="minorHAnsi"/>
          <w:b/>
          <w:sz w:val="24"/>
          <w:szCs w:val="24"/>
        </w:rPr>
        <w:tab/>
        <w:t>Empanelment contract for firms:</w:t>
      </w:r>
    </w:p>
    <w:p w14:paraId="24319150" w14:textId="77777777" w:rsidR="00DD3974" w:rsidRPr="00E87CF3" w:rsidRDefault="00DD3974" w:rsidP="00DD3974">
      <w:pPr>
        <w:spacing w:before="240" w:after="0"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firms selected for empanelment shall execute a ‘standard service contract’ with NITCO</w:t>
      </w:r>
      <w:r w:rsidR="002315D0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, in accordance with the laws of the Union of India. </w:t>
      </w:r>
    </w:p>
    <w:p w14:paraId="1CA0700D" w14:textId="77777777" w:rsidR="000C5236" w:rsidRPr="00E87CF3" w:rsidRDefault="000C5236">
      <w:pPr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br w:type="page"/>
      </w:r>
    </w:p>
    <w:p w14:paraId="51F7545D" w14:textId="77777777" w:rsidR="00312EE0" w:rsidRPr="00E87CF3" w:rsidRDefault="00312EE0" w:rsidP="00312EE0">
      <w:pPr>
        <w:autoSpaceDE w:val="0"/>
        <w:autoSpaceDN w:val="0"/>
        <w:adjustRightInd w:val="0"/>
        <w:spacing w:after="0" w:line="240" w:lineRule="auto"/>
        <w:rPr>
          <w:rFonts w:cstheme="minorHAnsi"/>
          <w:caps/>
          <w:color w:val="0070C0"/>
          <w:sz w:val="24"/>
          <w:szCs w:val="24"/>
        </w:rPr>
      </w:pPr>
      <w:r w:rsidRPr="00E87CF3">
        <w:rPr>
          <w:rFonts w:cstheme="minorHAnsi"/>
          <w:b/>
          <w:bCs/>
          <w:caps/>
          <w:color w:val="0070C0"/>
          <w:sz w:val="24"/>
          <w:szCs w:val="24"/>
        </w:rPr>
        <w:lastRenderedPageBreak/>
        <w:t>Annexure‐</w:t>
      </w:r>
      <w:r w:rsidR="00C56FA8" w:rsidRPr="00E87CF3">
        <w:rPr>
          <w:rFonts w:cstheme="minorHAnsi"/>
          <w:b/>
          <w:bCs/>
          <w:caps/>
          <w:color w:val="0070C0"/>
          <w:sz w:val="24"/>
          <w:szCs w:val="24"/>
        </w:rPr>
        <w:t>A</w:t>
      </w:r>
      <w:r w:rsidRPr="00E87CF3">
        <w:rPr>
          <w:rFonts w:cstheme="minorHAnsi"/>
          <w:b/>
          <w:bCs/>
          <w:caps/>
          <w:color w:val="0070C0"/>
          <w:sz w:val="24"/>
          <w:szCs w:val="24"/>
        </w:rPr>
        <w:t>: Eligibility</w:t>
      </w:r>
      <w:r w:rsidR="00DF0F65" w:rsidRPr="00E87CF3">
        <w:rPr>
          <w:rFonts w:cstheme="minorHAnsi"/>
          <w:b/>
          <w:bCs/>
          <w:caps/>
          <w:color w:val="0070C0"/>
          <w:sz w:val="24"/>
          <w:szCs w:val="24"/>
        </w:rPr>
        <w:t xml:space="preserve"> </w:t>
      </w:r>
      <w:r w:rsidRPr="00E87CF3">
        <w:rPr>
          <w:rFonts w:cstheme="minorHAnsi"/>
          <w:b/>
          <w:bCs/>
          <w:caps/>
          <w:color w:val="0070C0"/>
          <w:sz w:val="24"/>
          <w:szCs w:val="24"/>
        </w:rPr>
        <w:t>Criteria</w:t>
      </w:r>
      <w:r w:rsidR="00F70C7B">
        <w:rPr>
          <w:rFonts w:cstheme="minorHAnsi"/>
          <w:b/>
          <w:bCs/>
          <w:caps/>
          <w:color w:val="0070C0"/>
          <w:sz w:val="24"/>
          <w:szCs w:val="24"/>
        </w:rPr>
        <w:t>: FINANCIAL SERVICE ADVISORY/ ASSOCIATE FIRM</w:t>
      </w:r>
    </w:p>
    <w:p w14:paraId="186C475F" w14:textId="77777777" w:rsidR="00025D72" w:rsidRPr="00E87CF3" w:rsidRDefault="00025D72" w:rsidP="002034D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37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34"/>
        <w:gridCol w:w="2461"/>
        <w:gridCol w:w="5864"/>
        <w:gridCol w:w="78"/>
      </w:tblGrid>
      <w:tr w:rsidR="009B4845" w:rsidRPr="00E87CF3" w14:paraId="44B613C2" w14:textId="77777777" w:rsidTr="000966BF">
        <w:trPr>
          <w:trHeight w:val="349"/>
        </w:trPr>
        <w:tc>
          <w:tcPr>
            <w:tcW w:w="634" w:type="dxa"/>
            <w:tcBorders>
              <w:bottom w:val="nil"/>
            </w:tcBorders>
            <w:shd w:val="clear" w:color="auto" w:fill="0070C0"/>
          </w:tcPr>
          <w:p w14:paraId="0CFABF90" w14:textId="77777777" w:rsidR="009B4845" w:rsidRPr="00E87CF3" w:rsidRDefault="009B4845" w:rsidP="002F3EDA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87CF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S.No. </w:t>
            </w:r>
          </w:p>
        </w:tc>
        <w:tc>
          <w:tcPr>
            <w:tcW w:w="2461" w:type="dxa"/>
            <w:tcBorders>
              <w:bottom w:val="nil"/>
            </w:tcBorders>
            <w:shd w:val="clear" w:color="auto" w:fill="0070C0"/>
          </w:tcPr>
          <w:p w14:paraId="0A93A5B2" w14:textId="77777777" w:rsidR="009B4845" w:rsidRPr="00E87CF3" w:rsidRDefault="009B4845" w:rsidP="002F3EDA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87CF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864" w:type="dxa"/>
            <w:tcBorders>
              <w:right w:val="nil"/>
            </w:tcBorders>
            <w:shd w:val="clear" w:color="auto" w:fill="0070C0"/>
          </w:tcPr>
          <w:p w14:paraId="5D4861D9" w14:textId="77777777" w:rsidR="009B4845" w:rsidRPr="00E87CF3" w:rsidRDefault="009B4845" w:rsidP="009B4845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87CF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Requirements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0070C0"/>
          </w:tcPr>
          <w:p w14:paraId="3CDEA6E9" w14:textId="77777777" w:rsidR="009B4845" w:rsidRPr="00E87CF3" w:rsidRDefault="009B4845" w:rsidP="002F3EDA">
            <w:pPr>
              <w:spacing w:before="120" w:after="12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B4845" w:rsidRPr="00E87CF3" w14:paraId="536C46F9" w14:textId="77777777" w:rsidTr="000966BF">
        <w:trPr>
          <w:gridAfter w:val="1"/>
          <w:wAfter w:w="78" w:type="dxa"/>
          <w:trHeight w:val="723"/>
        </w:trPr>
        <w:tc>
          <w:tcPr>
            <w:tcW w:w="634" w:type="dxa"/>
          </w:tcPr>
          <w:p w14:paraId="0A909337" w14:textId="77777777" w:rsidR="009B4845" w:rsidRPr="00E87CF3" w:rsidRDefault="009B4845" w:rsidP="002F3ED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676C58FB" w14:textId="77777777" w:rsidR="009B4845" w:rsidRPr="00E87CF3" w:rsidRDefault="00F70C7B" w:rsidP="002F3ED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 constitution</w:t>
            </w:r>
          </w:p>
        </w:tc>
        <w:tc>
          <w:tcPr>
            <w:tcW w:w="5864" w:type="dxa"/>
          </w:tcPr>
          <w:p w14:paraId="429E7145" w14:textId="3DC66CA7" w:rsidR="009B4845" w:rsidRPr="00E87CF3" w:rsidRDefault="00A53794" w:rsidP="002F3ED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>S</w:t>
            </w:r>
            <w:r w:rsidR="009B4845" w:rsidRPr="00E87CF3">
              <w:rPr>
                <w:rFonts w:cstheme="minorHAnsi"/>
                <w:sz w:val="24"/>
                <w:szCs w:val="24"/>
              </w:rPr>
              <w:t>ole Proprietorship Firm, Partnership Firm/Limited Liability Partnership</w:t>
            </w:r>
            <w:r w:rsidRPr="00E87CF3">
              <w:rPr>
                <w:rFonts w:cstheme="minorHAnsi"/>
                <w:sz w:val="24"/>
                <w:szCs w:val="24"/>
              </w:rPr>
              <w:t>s</w:t>
            </w:r>
            <w:r w:rsidR="009B4845" w:rsidRPr="00E87CF3">
              <w:rPr>
                <w:rFonts w:cstheme="minorHAnsi"/>
                <w:sz w:val="24"/>
                <w:szCs w:val="24"/>
              </w:rPr>
              <w:t xml:space="preserve">, </w:t>
            </w:r>
            <w:r w:rsidRPr="00E87CF3">
              <w:rPr>
                <w:rFonts w:cstheme="minorHAnsi"/>
                <w:sz w:val="24"/>
                <w:szCs w:val="24"/>
              </w:rPr>
              <w:t>Limited liability Companies.</w:t>
            </w:r>
            <w:r w:rsidR="00603FF8">
              <w:rPr>
                <w:rFonts w:cstheme="minorHAnsi"/>
                <w:sz w:val="24"/>
                <w:szCs w:val="24"/>
              </w:rPr>
              <w:t xml:space="preserve"> </w:t>
            </w:r>
            <w:r w:rsidR="00603FF8" w:rsidRPr="00603FF8">
              <w:rPr>
                <w:rFonts w:cstheme="minorHAnsi"/>
                <w:sz w:val="24"/>
                <w:szCs w:val="24"/>
              </w:rPr>
              <w:t>MSME registered Companies and ‘Start-Ups’ are also encouraged to apply</w:t>
            </w:r>
          </w:p>
        </w:tc>
      </w:tr>
      <w:tr w:rsidR="009B4845" w:rsidRPr="00E87CF3" w14:paraId="1C7614A9" w14:textId="77777777" w:rsidTr="000966BF">
        <w:trPr>
          <w:gridAfter w:val="1"/>
          <w:wAfter w:w="78" w:type="dxa"/>
          <w:trHeight w:val="1447"/>
        </w:trPr>
        <w:tc>
          <w:tcPr>
            <w:tcW w:w="634" w:type="dxa"/>
          </w:tcPr>
          <w:p w14:paraId="7BEB8F4D" w14:textId="77777777" w:rsidR="009B4845" w:rsidRPr="00E87CF3" w:rsidRDefault="009B4845" w:rsidP="002F3ED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14:paraId="16E57CCE" w14:textId="77777777" w:rsidR="009B4845" w:rsidRPr="00E87CF3" w:rsidRDefault="00A53794" w:rsidP="002F3ED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>Eligibility Criteria</w:t>
            </w:r>
          </w:p>
        </w:tc>
        <w:tc>
          <w:tcPr>
            <w:tcW w:w="5864" w:type="dxa"/>
          </w:tcPr>
          <w:p w14:paraId="7CF199D0" w14:textId="3EEA90ED" w:rsidR="00A53794" w:rsidRPr="00E87CF3" w:rsidRDefault="004B5C63" w:rsidP="00A537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53794" w:rsidRPr="00E87CF3">
              <w:rPr>
                <w:rFonts w:cstheme="minorHAnsi"/>
                <w:sz w:val="24"/>
                <w:szCs w:val="24"/>
              </w:rPr>
              <w:t xml:space="preserve"> years of consulting experience with enterprises in the public and/ or private sector.</w:t>
            </w:r>
          </w:p>
          <w:p w14:paraId="5BA6BC7E" w14:textId="5A5A1330" w:rsidR="00A53794" w:rsidRPr="00E87CF3" w:rsidRDefault="00A53794" w:rsidP="00A537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 xml:space="preserve">Minimum average INR 30 lakhs of consulting revenues in the last </w:t>
            </w:r>
            <w:r w:rsidR="004B5C63">
              <w:rPr>
                <w:rFonts w:cstheme="minorHAnsi"/>
                <w:sz w:val="24"/>
                <w:szCs w:val="24"/>
              </w:rPr>
              <w:t>3</w:t>
            </w:r>
            <w:r w:rsidRPr="00E87CF3">
              <w:rPr>
                <w:rFonts w:cstheme="minorHAnsi"/>
                <w:sz w:val="24"/>
                <w:szCs w:val="24"/>
              </w:rPr>
              <w:t xml:space="preserve"> years. ITR’s to be submitted in this regard.</w:t>
            </w:r>
          </w:p>
          <w:p w14:paraId="269A1866" w14:textId="40F70B4D" w:rsidR="00A53794" w:rsidRDefault="00A53794" w:rsidP="00A537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 xml:space="preserve">Minimum </w:t>
            </w:r>
            <w:r w:rsidR="004B5C63">
              <w:rPr>
                <w:rFonts w:cstheme="minorHAnsi"/>
                <w:sz w:val="24"/>
                <w:szCs w:val="24"/>
              </w:rPr>
              <w:t>2</w:t>
            </w:r>
            <w:r w:rsidRPr="00E87CF3">
              <w:rPr>
                <w:rFonts w:cstheme="minorHAnsi"/>
                <w:sz w:val="24"/>
                <w:szCs w:val="24"/>
              </w:rPr>
              <w:t xml:space="preserve"> assignments with government/ public sector organizations in the last 5 years.</w:t>
            </w:r>
          </w:p>
          <w:p w14:paraId="60796FD9" w14:textId="60AAC5BD" w:rsidR="000966BF" w:rsidRPr="00E87CF3" w:rsidRDefault="000966BF" w:rsidP="00A537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0966BF">
              <w:rPr>
                <w:rFonts w:cstheme="minorHAnsi"/>
                <w:sz w:val="24"/>
                <w:szCs w:val="24"/>
              </w:rPr>
              <w:t>For MSMEs and new ‘Start-Ups’, the requirement would be a certificate from any recognized Evaluator/ Institution or Agency.</w:t>
            </w:r>
          </w:p>
          <w:p w14:paraId="00A6C6BE" w14:textId="717314ED" w:rsidR="00A53794" w:rsidRPr="00E87CF3" w:rsidRDefault="00A53794" w:rsidP="00A537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 xml:space="preserve">Specialization in market strategy and enterprise risk management. Details of assignments in this regard with values, referral client phone numbers for the last </w:t>
            </w:r>
            <w:r w:rsidR="004B5C63">
              <w:rPr>
                <w:rFonts w:cstheme="minorHAnsi"/>
                <w:sz w:val="24"/>
                <w:szCs w:val="24"/>
              </w:rPr>
              <w:t>3</w:t>
            </w:r>
            <w:r w:rsidRPr="00E87CF3">
              <w:rPr>
                <w:rFonts w:cstheme="minorHAnsi"/>
                <w:sz w:val="24"/>
                <w:szCs w:val="24"/>
              </w:rPr>
              <w:t xml:space="preserve"> FY’s to be submitted.</w:t>
            </w:r>
          </w:p>
          <w:p w14:paraId="192317A8" w14:textId="77777777" w:rsidR="00A53794" w:rsidRPr="00E87CF3" w:rsidRDefault="00A53794" w:rsidP="00A537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>Valid PAN/ TAN and GST registrations.</w:t>
            </w:r>
          </w:p>
          <w:p w14:paraId="724F3716" w14:textId="77777777" w:rsidR="00A53794" w:rsidRPr="00E87CF3" w:rsidRDefault="00A53794" w:rsidP="00A537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>Organizational profile including constitution and banking details.</w:t>
            </w:r>
          </w:p>
          <w:p w14:paraId="2172829A" w14:textId="77777777" w:rsidR="009B4845" w:rsidRDefault="00A53794" w:rsidP="00A537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7CF3">
              <w:rPr>
                <w:rFonts w:cstheme="minorHAnsi"/>
                <w:sz w:val="24"/>
                <w:szCs w:val="24"/>
              </w:rPr>
              <w:t>Team size and resumes of team members.</w:t>
            </w:r>
          </w:p>
          <w:p w14:paraId="64012F07" w14:textId="015C2F55" w:rsidR="005C3A04" w:rsidRPr="00E87CF3" w:rsidRDefault="00603FF8" w:rsidP="00A537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Three</w:t>
            </w:r>
            <w:r w:rsidRPr="00603FF8">
              <w:rPr>
                <w:rFonts w:cstheme="minorHAnsi"/>
                <w:sz w:val="24"/>
                <w:szCs w:val="24"/>
              </w:rPr>
              <w:t xml:space="preserve"> years’ experience will not be applied to MSME registered Companies and ‘Start-Ups’, but they </w:t>
            </w:r>
            <w:r w:rsidR="000966BF">
              <w:rPr>
                <w:rFonts w:cstheme="minorHAnsi"/>
                <w:sz w:val="24"/>
                <w:szCs w:val="24"/>
              </w:rPr>
              <w:t xml:space="preserve">are </w:t>
            </w:r>
            <w:r w:rsidRPr="00603FF8">
              <w:rPr>
                <w:rFonts w:cstheme="minorHAnsi"/>
                <w:sz w:val="24"/>
                <w:szCs w:val="24"/>
              </w:rPr>
              <w:t>required to give details of their Concept/</w:t>
            </w:r>
            <w:r>
              <w:rPr>
                <w:rFonts w:cstheme="minorHAnsi"/>
                <w:sz w:val="24"/>
                <w:szCs w:val="24"/>
              </w:rPr>
              <w:t>Innovations/</w:t>
            </w:r>
            <w:r w:rsidRPr="00603FF8">
              <w:rPr>
                <w:rFonts w:cstheme="minorHAnsi"/>
                <w:sz w:val="24"/>
                <w:szCs w:val="24"/>
              </w:rPr>
              <w:t>Mission/Objective/Vision(not less than 1000 words</w:t>
            </w:r>
            <w:r w:rsidR="00711F6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C3A04" w:rsidRPr="00E87CF3" w14:paraId="13B6A0D5" w14:textId="77777777" w:rsidTr="000966BF">
        <w:trPr>
          <w:gridAfter w:val="1"/>
          <w:wAfter w:w="78" w:type="dxa"/>
          <w:trHeight w:val="1447"/>
        </w:trPr>
        <w:tc>
          <w:tcPr>
            <w:tcW w:w="634" w:type="dxa"/>
          </w:tcPr>
          <w:p w14:paraId="473E1596" w14:textId="37BDF67E" w:rsidR="005C3A04" w:rsidRPr="00E87CF3" w:rsidRDefault="005C3A04" w:rsidP="002F3EDA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14:paraId="33CEF063" w14:textId="71E57872" w:rsidR="005C3A04" w:rsidRPr="00E87CF3" w:rsidRDefault="005C3A04" w:rsidP="002F3EDA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5C3A04">
              <w:rPr>
                <w:rFonts w:cstheme="minorHAnsi"/>
                <w:sz w:val="24"/>
                <w:szCs w:val="24"/>
              </w:rPr>
              <w:t>Financial Detail</w:t>
            </w:r>
          </w:p>
        </w:tc>
        <w:tc>
          <w:tcPr>
            <w:tcW w:w="5864" w:type="dxa"/>
          </w:tcPr>
          <w:p w14:paraId="24E8D817" w14:textId="390D0A49" w:rsidR="005C3A04" w:rsidRPr="005C3A04" w:rsidRDefault="005C3A04" w:rsidP="005C3A04">
            <w:pPr>
              <w:rPr>
                <w:rFonts w:cstheme="minorHAnsi"/>
                <w:sz w:val="24"/>
                <w:szCs w:val="24"/>
              </w:rPr>
            </w:pPr>
            <w:r w:rsidRPr="005C3A04">
              <w:rPr>
                <w:rFonts w:cstheme="minorHAnsi"/>
                <w:sz w:val="24"/>
                <w:szCs w:val="24"/>
              </w:rPr>
              <w:t xml:space="preserve">Turn Over of 2016-17 should be more than INR 50 Lakhs. ‘Start-Ups” and MSME sector Companies should give details of their Financial </w:t>
            </w:r>
            <w:r w:rsidR="00382BE8">
              <w:rPr>
                <w:rFonts w:cstheme="minorHAnsi"/>
                <w:sz w:val="24"/>
                <w:szCs w:val="24"/>
              </w:rPr>
              <w:t>B</w:t>
            </w:r>
            <w:r w:rsidRPr="005C3A04">
              <w:rPr>
                <w:rFonts w:cstheme="minorHAnsi"/>
                <w:sz w:val="24"/>
                <w:szCs w:val="24"/>
              </w:rPr>
              <w:t>odies and Financing Institutions with the details authenticated by the concerned agency.</w:t>
            </w:r>
          </w:p>
        </w:tc>
      </w:tr>
    </w:tbl>
    <w:p w14:paraId="79034732" w14:textId="77777777" w:rsidR="00312EE0" w:rsidRPr="00E87CF3" w:rsidRDefault="00312EE0" w:rsidP="002034D8">
      <w:pPr>
        <w:rPr>
          <w:rFonts w:cstheme="minorHAnsi"/>
          <w:sz w:val="24"/>
          <w:szCs w:val="24"/>
        </w:rPr>
      </w:pPr>
    </w:p>
    <w:p w14:paraId="0DCF4506" w14:textId="77777777" w:rsidR="002F3EDA" w:rsidRPr="00E87CF3" w:rsidRDefault="002F3EDA" w:rsidP="002034D8">
      <w:pPr>
        <w:rPr>
          <w:rFonts w:cstheme="minorHAnsi"/>
          <w:sz w:val="24"/>
          <w:szCs w:val="24"/>
        </w:rPr>
      </w:pPr>
    </w:p>
    <w:p w14:paraId="6397B465" w14:textId="77777777" w:rsidR="00C56FA8" w:rsidRPr="00E87CF3" w:rsidRDefault="00C56FA8">
      <w:pPr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br w:type="page"/>
      </w:r>
    </w:p>
    <w:p w14:paraId="4DF06FE4" w14:textId="77777777" w:rsidR="00C56FA8" w:rsidRPr="00E87CF3" w:rsidRDefault="00C56FA8" w:rsidP="002F3E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70C0"/>
          <w:sz w:val="24"/>
          <w:szCs w:val="24"/>
        </w:rPr>
      </w:pPr>
      <w:r w:rsidRPr="00E87CF3">
        <w:rPr>
          <w:rFonts w:cstheme="minorHAnsi"/>
          <w:b/>
          <w:bCs/>
          <w:color w:val="0070C0"/>
          <w:sz w:val="24"/>
          <w:szCs w:val="24"/>
        </w:rPr>
        <w:lastRenderedPageBreak/>
        <w:t xml:space="preserve">ANNEXURE‐B: </w:t>
      </w:r>
      <w:r w:rsidR="00E87CF3" w:rsidRPr="00E87CF3">
        <w:rPr>
          <w:rFonts w:cstheme="minorHAnsi"/>
          <w:b/>
          <w:bCs/>
          <w:color w:val="0070C0"/>
          <w:sz w:val="24"/>
          <w:szCs w:val="24"/>
        </w:rPr>
        <w:t>SUBMISSION OF DOCUMENTS FOR EMPANELMENT</w:t>
      </w:r>
      <w:r w:rsidRPr="00E87CF3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1C015892" w14:textId="77777777" w:rsidR="00C56FA8" w:rsidRPr="00E87CF3" w:rsidRDefault="00C56FA8" w:rsidP="00641D88">
      <w:pPr>
        <w:spacing w:after="0"/>
        <w:rPr>
          <w:rFonts w:cstheme="minorHAnsi"/>
          <w:sz w:val="24"/>
          <w:szCs w:val="24"/>
        </w:rPr>
      </w:pPr>
    </w:p>
    <w:p w14:paraId="7AAF8B3D" w14:textId="77777777" w:rsidR="00C56FA8" w:rsidRPr="00E87CF3" w:rsidRDefault="00E87CF3" w:rsidP="00C56FA8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 w:rsidRPr="00E87CF3">
        <w:rPr>
          <w:rFonts w:cstheme="minorHAnsi"/>
          <w:bCs/>
          <w:sz w:val="24"/>
          <w:szCs w:val="24"/>
        </w:rPr>
        <w:t>The following documents (self-attested) need to be submitted along with the application:</w:t>
      </w:r>
    </w:p>
    <w:p w14:paraId="3B7D97D3" w14:textId="77777777" w:rsidR="00595FCA" w:rsidRDefault="00595FCA" w:rsidP="00595F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 profile.</w:t>
      </w:r>
    </w:p>
    <w:p w14:paraId="5C364C72" w14:textId="77777777" w:rsidR="00E87CF3" w:rsidRDefault="00E87CF3" w:rsidP="00E87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Experience summary with nature of assignments, client contact details and years of engagement.</w:t>
      </w:r>
    </w:p>
    <w:p w14:paraId="2A1FA69B" w14:textId="77777777" w:rsidR="00E87CF3" w:rsidRDefault="00E87CF3" w:rsidP="00E87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Resumes of consultants to be involved in NITCON assignments.</w:t>
      </w:r>
    </w:p>
    <w:p w14:paraId="1B473F15" w14:textId="77777777" w:rsidR="00E87CF3" w:rsidRPr="00E87CF3" w:rsidRDefault="00E87CF3" w:rsidP="00E87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Constitution and banking details.</w:t>
      </w:r>
    </w:p>
    <w:p w14:paraId="174BDA01" w14:textId="77777777" w:rsidR="00E87CF3" w:rsidRPr="00E87CF3" w:rsidRDefault="00E87CF3" w:rsidP="00E87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PAN/ TAN and GST registration numbers (GST REG-25).</w:t>
      </w:r>
    </w:p>
    <w:p w14:paraId="53F715E1" w14:textId="77777777" w:rsidR="00E87CF3" w:rsidRDefault="00E87CF3" w:rsidP="00E87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87CF3">
        <w:rPr>
          <w:rFonts w:cstheme="minorHAnsi"/>
          <w:sz w:val="24"/>
          <w:szCs w:val="24"/>
        </w:rPr>
        <w:t>Income tax returns for the last three financial years with Balance Sheets, Profit &amp; Loss Accounts.</w:t>
      </w:r>
    </w:p>
    <w:p w14:paraId="490F3773" w14:textId="77777777" w:rsidR="00595FCA" w:rsidRDefault="00595FCA" w:rsidP="00E87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Undertaking stating that the firm has not been blacklisted by any Government or CPSE organization.</w:t>
      </w:r>
    </w:p>
    <w:p w14:paraId="67CF0107" w14:textId="7AC504D7" w:rsidR="00F70C7B" w:rsidRDefault="00F70C7B" w:rsidP="00E87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Empanelment fee of INR 50000.00 (fifty thousand only) payable to NITCON Limited in New Delhi.</w:t>
      </w:r>
    </w:p>
    <w:p w14:paraId="7357B705" w14:textId="55E06E2D" w:rsidR="00CA63FB" w:rsidRPr="00E87CF3" w:rsidRDefault="00CA63FB" w:rsidP="00E87C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</w:t>
      </w:r>
      <w:r w:rsidR="006011A6">
        <w:rPr>
          <w:rFonts w:cstheme="minorHAnsi"/>
          <w:sz w:val="24"/>
          <w:szCs w:val="24"/>
        </w:rPr>
        <w:t>rity amount of</w:t>
      </w:r>
      <w:r w:rsidR="000966BF">
        <w:rPr>
          <w:rFonts w:cstheme="minorHAnsi"/>
          <w:sz w:val="24"/>
          <w:szCs w:val="24"/>
        </w:rPr>
        <w:t xml:space="preserve"> INR</w:t>
      </w:r>
      <w:r w:rsidR="006011A6">
        <w:rPr>
          <w:rFonts w:cstheme="minorHAnsi"/>
          <w:sz w:val="24"/>
          <w:szCs w:val="24"/>
        </w:rPr>
        <w:t xml:space="preserve"> 10,000/-</w:t>
      </w:r>
      <w:r w:rsidR="000966BF">
        <w:rPr>
          <w:rFonts w:cstheme="minorHAnsi"/>
          <w:sz w:val="24"/>
          <w:szCs w:val="24"/>
        </w:rPr>
        <w:t xml:space="preserve"> (Ten thousand Only)</w:t>
      </w:r>
      <w:r w:rsidR="006011A6">
        <w:rPr>
          <w:rFonts w:cstheme="minorHAnsi"/>
          <w:sz w:val="24"/>
          <w:szCs w:val="24"/>
        </w:rPr>
        <w:t xml:space="preserve"> payable to NITCON.</w:t>
      </w:r>
    </w:p>
    <w:p w14:paraId="0B6769F9" w14:textId="77777777" w:rsidR="00E87CF3" w:rsidRPr="00595FCA" w:rsidRDefault="00E87CF3" w:rsidP="00595FC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95935AC" w14:textId="77777777" w:rsidR="00595FCA" w:rsidRDefault="00595FCA" w:rsidP="00C56FA8">
      <w:pPr>
        <w:rPr>
          <w:rFonts w:cstheme="minorHAnsi"/>
          <w:sz w:val="24"/>
          <w:szCs w:val="24"/>
        </w:rPr>
      </w:pPr>
    </w:p>
    <w:p w14:paraId="0E6CD484" w14:textId="77777777" w:rsidR="00595FCA" w:rsidRDefault="00595FCA" w:rsidP="00C56FA8">
      <w:pPr>
        <w:rPr>
          <w:rFonts w:cstheme="minorHAnsi"/>
          <w:sz w:val="24"/>
          <w:szCs w:val="24"/>
        </w:rPr>
      </w:pPr>
    </w:p>
    <w:p w14:paraId="002174F1" w14:textId="77777777" w:rsidR="00595FCA" w:rsidRDefault="00595FCA" w:rsidP="00C56FA8">
      <w:pPr>
        <w:rPr>
          <w:rFonts w:cstheme="minorHAnsi"/>
          <w:sz w:val="24"/>
          <w:szCs w:val="24"/>
        </w:rPr>
      </w:pPr>
    </w:p>
    <w:p w14:paraId="1E9002BE" w14:textId="77777777" w:rsidR="00595FCA" w:rsidRDefault="00595FCA" w:rsidP="00C56FA8">
      <w:pPr>
        <w:rPr>
          <w:rFonts w:cstheme="minorHAnsi"/>
          <w:sz w:val="24"/>
          <w:szCs w:val="24"/>
        </w:rPr>
      </w:pPr>
    </w:p>
    <w:p w14:paraId="15C5E78D" w14:textId="77777777" w:rsidR="00595FCA" w:rsidRDefault="00595FCA" w:rsidP="00C56FA8">
      <w:pPr>
        <w:rPr>
          <w:rFonts w:cstheme="minorHAnsi"/>
          <w:sz w:val="24"/>
          <w:szCs w:val="24"/>
        </w:rPr>
      </w:pPr>
    </w:p>
    <w:p w14:paraId="6450DABF" w14:textId="77777777" w:rsidR="00595FCA" w:rsidRDefault="00595FCA" w:rsidP="00C56FA8">
      <w:pPr>
        <w:rPr>
          <w:rFonts w:cstheme="minorHAnsi"/>
          <w:sz w:val="24"/>
          <w:szCs w:val="24"/>
        </w:rPr>
      </w:pPr>
    </w:p>
    <w:p w14:paraId="0CE4B904" w14:textId="77777777" w:rsidR="00595FCA" w:rsidRDefault="00595FCA" w:rsidP="00C56FA8">
      <w:pPr>
        <w:rPr>
          <w:rFonts w:cstheme="minorHAnsi"/>
          <w:sz w:val="24"/>
          <w:szCs w:val="24"/>
        </w:rPr>
      </w:pPr>
    </w:p>
    <w:p w14:paraId="3D9A89F2" w14:textId="77777777" w:rsidR="00595FCA" w:rsidRDefault="00595FCA" w:rsidP="00C56FA8">
      <w:pPr>
        <w:rPr>
          <w:rFonts w:cstheme="minorHAnsi"/>
          <w:sz w:val="24"/>
          <w:szCs w:val="24"/>
        </w:rPr>
      </w:pPr>
    </w:p>
    <w:p w14:paraId="6CAAEB4B" w14:textId="77777777" w:rsidR="00595FCA" w:rsidRDefault="00595FCA" w:rsidP="00C56FA8">
      <w:pPr>
        <w:rPr>
          <w:rFonts w:cstheme="minorHAnsi"/>
          <w:sz w:val="24"/>
          <w:szCs w:val="24"/>
        </w:rPr>
      </w:pPr>
    </w:p>
    <w:p w14:paraId="7411890A" w14:textId="77777777" w:rsidR="00C56FA8" w:rsidRPr="00E87CF3" w:rsidRDefault="00C56FA8" w:rsidP="004C4AD4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5FC33AF1" w14:textId="77777777" w:rsidR="00C56FA8" w:rsidRPr="00E87CF3" w:rsidRDefault="00C56FA8" w:rsidP="002315D0">
      <w:pPr>
        <w:spacing w:before="120" w:after="0" w:line="240" w:lineRule="auto"/>
        <w:jc w:val="center"/>
        <w:rPr>
          <w:rFonts w:cstheme="minorHAnsi"/>
          <w:i/>
          <w:sz w:val="24"/>
          <w:szCs w:val="24"/>
        </w:rPr>
      </w:pPr>
      <w:r w:rsidRPr="00E87CF3">
        <w:rPr>
          <w:rFonts w:cstheme="minorHAnsi"/>
          <w:i/>
          <w:sz w:val="24"/>
          <w:szCs w:val="24"/>
        </w:rPr>
        <w:t>(</w:t>
      </w:r>
      <w:r w:rsidR="002315D0">
        <w:rPr>
          <w:rFonts w:cstheme="minorHAnsi"/>
          <w:i/>
          <w:sz w:val="24"/>
          <w:szCs w:val="24"/>
        </w:rPr>
        <w:t>All documents t</w:t>
      </w:r>
      <w:r w:rsidRPr="00E87CF3">
        <w:rPr>
          <w:rFonts w:cstheme="minorHAnsi"/>
          <w:i/>
          <w:sz w:val="24"/>
          <w:szCs w:val="24"/>
        </w:rPr>
        <w:t xml:space="preserve">o be signed by the individual/ </w:t>
      </w:r>
      <w:r w:rsidR="002315D0" w:rsidRPr="00E87CF3">
        <w:rPr>
          <w:rFonts w:cstheme="minorHAnsi"/>
          <w:i/>
          <w:sz w:val="24"/>
          <w:szCs w:val="24"/>
        </w:rPr>
        <w:t>au</w:t>
      </w:r>
      <w:r w:rsidR="002315D0">
        <w:rPr>
          <w:rFonts w:cstheme="minorHAnsi"/>
          <w:i/>
          <w:sz w:val="24"/>
          <w:szCs w:val="24"/>
        </w:rPr>
        <w:t>thorized signatory of the firm/</w:t>
      </w:r>
      <w:r w:rsidRPr="00E87CF3">
        <w:rPr>
          <w:rFonts w:cstheme="minorHAnsi"/>
          <w:i/>
          <w:sz w:val="24"/>
          <w:szCs w:val="24"/>
        </w:rPr>
        <w:t>company)</w:t>
      </w:r>
    </w:p>
    <w:sectPr w:rsidR="00C56FA8" w:rsidRPr="00E87CF3" w:rsidSect="007A492F">
      <w:headerReference w:type="default" r:id="rId8"/>
      <w:footerReference w:type="even" r:id="rId9"/>
      <w:footerReference w:type="default" r:id="rId10"/>
      <w:pgSz w:w="11909" w:h="16834" w:code="9"/>
      <w:pgMar w:top="1800" w:right="144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DB45" w14:textId="77777777" w:rsidR="00D06CB7" w:rsidRDefault="00D06CB7" w:rsidP="007A492F">
      <w:pPr>
        <w:spacing w:after="0" w:line="240" w:lineRule="auto"/>
      </w:pPr>
      <w:r>
        <w:separator/>
      </w:r>
    </w:p>
  </w:endnote>
  <w:endnote w:type="continuationSeparator" w:id="0">
    <w:p w14:paraId="7E640015" w14:textId="77777777" w:rsidR="00D06CB7" w:rsidRDefault="00D06CB7" w:rsidP="007A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9348" w14:textId="77777777" w:rsidR="007A492F" w:rsidRDefault="00104BA2" w:rsidP="000A5A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FE8AE" w14:textId="77777777" w:rsidR="007A492F" w:rsidRDefault="007A492F" w:rsidP="007A4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002A" w14:textId="3C726789" w:rsidR="007A492F" w:rsidRPr="007A492F" w:rsidRDefault="00104BA2" w:rsidP="000A5AF4">
    <w:pPr>
      <w:pStyle w:val="Footer"/>
      <w:framePr w:wrap="around" w:vAnchor="text" w:hAnchor="margin" w:xAlign="right" w:y="1"/>
      <w:rPr>
        <w:rStyle w:val="PageNumber"/>
        <w:b/>
        <w:color w:val="0070C0"/>
      </w:rPr>
    </w:pPr>
    <w:r w:rsidRPr="007A492F">
      <w:rPr>
        <w:rStyle w:val="PageNumber"/>
        <w:b/>
        <w:color w:val="0070C0"/>
      </w:rPr>
      <w:fldChar w:fldCharType="begin"/>
    </w:r>
    <w:r w:rsidR="007A492F" w:rsidRPr="007A492F">
      <w:rPr>
        <w:rStyle w:val="PageNumber"/>
        <w:b/>
        <w:color w:val="0070C0"/>
      </w:rPr>
      <w:instrText xml:space="preserve">PAGE  </w:instrText>
    </w:r>
    <w:r w:rsidRPr="007A492F">
      <w:rPr>
        <w:rStyle w:val="PageNumber"/>
        <w:b/>
        <w:color w:val="0070C0"/>
      </w:rPr>
      <w:fldChar w:fldCharType="separate"/>
    </w:r>
    <w:r w:rsidR="00A22042">
      <w:rPr>
        <w:rStyle w:val="PageNumber"/>
        <w:b/>
        <w:noProof/>
        <w:color w:val="0070C0"/>
      </w:rPr>
      <w:t>2</w:t>
    </w:r>
    <w:r w:rsidRPr="007A492F">
      <w:rPr>
        <w:rStyle w:val="PageNumber"/>
        <w:b/>
        <w:color w:val="0070C0"/>
      </w:rPr>
      <w:fldChar w:fldCharType="end"/>
    </w:r>
  </w:p>
  <w:p w14:paraId="0B5A2DB8" w14:textId="77777777" w:rsidR="007A492F" w:rsidRDefault="007A492F" w:rsidP="007A4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21A5" w14:textId="77777777" w:rsidR="00D06CB7" w:rsidRDefault="00D06CB7" w:rsidP="007A492F">
      <w:pPr>
        <w:spacing w:after="0" w:line="240" w:lineRule="auto"/>
      </w:pPr>
      <w:r>
        <w:separator/>
      </w:r>
    </w:p>
  </w:footnote>
  <w:footnote w:type="continuationSeparator" w:id="0">
    <w:p w14:paraId="1936E44E" w14:textId="77777777" w:rsidR="00D06CB7" w:rsidRDefault="00D06CB7" w:rsidP="007A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7836" w14:textId="77777777" w:rsidR="007A492F" w:rsidRPr="007A492F" w:rsidRDefault="007A492F" w:rsidP="007A492F">
    <w:pPr>
      <w:pStyle w:val="Header"/>
      <w:pBdr>
        <w:bottom w:val="single" w:sz="6" w:space="1" w:color="0070C0"/>
      </w:pBdr>
      <w:rPr>
        <w:color w:val="0070C0"/>
      </w:rPr>
    </w:pPr>
    <w:r w:rsidRPr="007A492F">
      <w:rPr>
        <w:color w:val="0070C0"/>
        <w:spacing w:val="20"/>
      </w:rPr>
      <w:t xml:space="preserve">Empanelment of </w:t>
    </w:r>
    <w:r w:rsidR="00595FCA">
      <w:rPr>
        <w:color w:val="0070C0"/>
        <w:spacing w:val="20"/>
      </w:rPr>
      <w:t>Financial Services Advisory Firms (associates)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E52"/>
    <w:multiLevelType w:val="hybridMultilevel"/>
    <w:tmpl w:val="17D25032"/>
    <w:lvl w:ilvl="0" w:tplc="CEC4EFB0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03B369A"/>
    <w:multiLevelType w:val="hybridMultilevel"/>
    <w:tmpl w:val="B630DCBC"/>
    <w:lvl w:ilvl="0" w:tplc="CEC4EF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32931"/>
    <w:multiLevelType w:val="hybridMultilevel"/>
    <w:tmpl w:val="E8B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66988"/>
    <w:multiLevelType w:val="hybridMultilevel"/>
    <w:tmpl w:val="B8C60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A23"/>
    <w:multiLevelType w:val="hybridMultilevel"/>
    <w:tmpl w:val="B630DCBC"/>
    <w:lvl w:ilvl="0" w:tplc="CEC4EF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137283"/>
    <w:multiLevelType w:val="hybridMultilevel"/>
    <w:tmpl w:val="B630DCBC"/>
    <w:lvl w:ilvl="0" w:tplc="CEC4EF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606BB"/>
    <w:multiLevelType w:val="hybridMultilevel"/>
    <w:tmpl w:val="C97C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83BC4"/>
    <w:multiLevelType w:val="hybridMultilevel"/>
    <w:tmpl w:val="B630DCBC"/>
    <w:lvl w:ilvl="0" w:tplc="CEC4EF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437477"/>
    <w:multiLevelType w:val="hybridMultilevel"/>
    <w:tmpl w:val="B630DCBC"/>
    <w:lvl w:ilvl="0" w:tplc="CEC4EF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97326"/>
    <w:multiLevelType w:val="hybridMultilevel"/>
    <w:tmpl w:val="B630DCBC"/>
    <w:lvl w:ilvl="0" w:tplc="CEC4EF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83687"/>
    <w:multiLevelType w:val="hybridMultilevel"/>
    <w:tmpl w:val="6DB424F4"/>
    <w:lvl w:ilvl="0" w:tplc="C38A0B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17209"/>
    <w:multiLevelType w:val="hybridMultilevel"/>
    <w:tmpl w:val="1CB4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C3696"/>
    <w:multiLevelType w:val="hybridMultilevel"/>
    <w:tmpl w:val="64162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35400"/>
    <w:multiLevelType w:val="hybridMultilevel"/>
    <w:tmpl w:val="B630DCBC"/>
    <w:lvl w:ilvl="0" w:tplc="CEC4EF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29"/>
    <w:rsid w:val="0000728C"/>
    <w:rsid w:val="0001729F"/>
    <w:rsid w:val="00025D72"/>
    <w:rsid w:val="00035D86"/>
    <w:rsid w:val="00060CAA"/>
    <w:rsid w:val="00070E3D"/>
    <w:rsid w:val="00071135"/>
    <w:rsid w:val="00083524"/>
    <w:rsid w:val="00086BB3"/>
    <w:rsid w:val="00095711"/>
    <w:rsid w:val="000966BF"/>
    <w:rsid w:val="000A01D1"/>
    <w:rsid w:val="000A63F3"/>
    <w:rsid w:val="000C5236"/>
    <w:rsid w:val="00104BA2"/>
    <w:rsid w:val="00107F2A"/>
    <w:rsid w:val="0012287C"/>
    <w:rsid w:val="00127BDC"/>
    <w:rsid w:val="00153409"/>
    <w:rsid w:val="0018153F"/>
    <w:rsid w:val="00186779"/>
    <w:rsid w:val="0019536A"/>
    <w:rsid w:val="00197064"/>
    <w:rsid w:val="001A1B81"/>
    <w:rsid w:val="001B0307"/>
    <w:rsid w:val="001E53D8"/>
    <w:rsid w:val="002034D8"/>
    <w:rsid w:val="002315D0"/>
    <w:rsid w:val="002437FA"/>
    <w:rsid w:val="002564E1"/>
    <w:rsid w:val="0026182E"/>
    <w:rsid w:val="00261DF7"/>
    <w:rsid w:val="002872B3"/>
    <w:rsid w:val="00294495"/>
    <w:rsid w:val="002A7A99"/>
    <w:rsid w:val="002B658A"/>
    <w:rsid w:val="002F3EDA"/>
    <w:rsid w:val="002F5F0C"/>
    <w:rsid w:val="002F6DAA"/>
    <w:rsid w:val="00300D58"/>
    <w:rsid w:val="003034B9"/>
    <w:rsid w:val="00312EE0"/>
    <w:rsid w:val="00345FF9"/>
    <w:rsid w:val="00382BE8"/>
    <w:rsid w:val="00391955"/>
    <w:rsid w:val="0039292C"/>
    <w:rsid w:val="003C3BA4"/>
    <w:rsid w:val="003D74A3"/>
    <w:rsid w:val="003D7624"/>
    <w:rsid w:val="003F1D68"/>
    <w:rsid w:val="004301D7"/>
    <w:rsid w:val="004A568E"/>
    <w:rsid w:val="004B5C63"/>
    <w:rsid w:val="004C4AD4"/>
    <w:rsid w:val="004F4D40"/>
    <w:rsid w:val="005076C3"/>
    <w:rsid w:val="00590569"/>
    <w:rsid w:val="00595FCA"/>
    <w:rsid w:val="005A1CAA"/>
    <w:rsid w:val="005A5CB7"/>
    <w:rsid w:val="005C3A04"/>
    <w:rsid w:val="005D0ABE"/>
    <w:rsid w:val="005E12BE"/>
    <w:rsid w:val="005F3278"/>
    <w:rsid w:val="005F47AE"/>
    <w:rsid w:val="006011A6"/>
    <w:rsid w:val="00603FF8"/>
    <w:rsid w:val="006164B2"/>
    <w:rsid w:val="006328B3"/>
    <w:rsid w:val="0063345C"/>
    <w:rsid w:val="00641D88"/>
    <w:rsid w:val="006439A2"/>
    <w:rsid w:val="006C58E0"/>
    <w:rsid w:val="006C6730"/>
    <w:rsid w:val="006E2E9A"/>
    <w:rsid w:val="006F1B17"/>
    <w:rsid w:val="00710A9A"/>
    <w:rsid w:val="00711F65"/>
    <w:rsid w:val="0071322B"/>
    <w:rsid w:val="00723F28"/>
    <w:rsid w:val="0072428D"/>
    <w:rsid w:val="00726812"/>
    <w:rsid w:val="00733C3E"/>
    <w:rsid w:val="007724FF"/>
    <w:rsid w:val="007944C2"/>
    <w:rsid w:val="007A492F"/>
    <w:rsid w:val="007C16AA"/>
    <w:rsid w:val="007C6D8F"/>
    <w:rsid w:val="007E6429"/>
    <w:rsid w:val="007F49C7"/>
    <w:rsid w:val="00892D86"/>
    <w:rsid w:val="008C7E50"/>
    <w:rsid w:val="008E2A14"/>
    <w:rsid w:val="008E3DCE"/>
    <w:rsid w:val="009414BA"/>
    <w:rsid w:val="0096323B"/>
    <w:rsid w:val="009849B5"/>
    <w:rsid w:val="0099711C"/>
    <w:rsid w:val="009B4845"/>
    <w:rsid w:val="009B6167"/>
    <w:rsid w:val="009D026E"/>
    <w:rsid w:val="009D2B82"/>
    <w:rsid w:val="00A110E1"/>
    <w:rsid w:val="00A17131"/>
    <w:rsid w:val="00A22042"/>
    <w:rsid w:val="00A26A94"/>
    <w:rsid w:val="00A47684"/>
    <w:rsid w:val="00A53794"/>
    <w:rsid w:val="00A77527"/>
    <w:rsid w:val="00AB2083"/>
    <w:rsid w:val="00AD214B"/>
    <w:rsid w:val="00AD306E"/>
    <w:rsid w:val="00B06C9C"/>
    <w:rsid w:val="00B332E6"/>
    <w:rsid w:val="00B40B50"/>
    <w:rsid w:val="00B521B5"/>
    <w:rsid w:val="00B524C3"/>
    <w:rsid w:val="00B5384F"/>
    <w:rsid w:val="00B80869"/>
    <w:rsid w:val="00B84A1E"/>
    <w:rsid w:val="00BC1EB2"/>
    <w:rsid w:val="00BD675D"/>
    <w:rsid w:val="00BD6F3C"/>
    <w:rsid w:val="00BD72C7"/>
    <w:rsid w:val="00BE72C9"/>
    <w:rsid w:val="00C011AC"/>
    <w:rsid w:val="00C34888"/>
    <w:rsid w:val="00C56FA8"/>
    <w:rsid w:val="00C57BAC"/>
    <w:rsid w:val="00C773EE"/>
    <w:rsid w:val="00C7799A"/>
    <w:rsid w:val="00C97246"/>
    <w:rsid w:val="00CA63FB"/>
    <w:rsid w:val="00CA6F63"/>
    <w:rsid w:val="00CC2746"/>
    <w:rsid w:val="00CC4DF9"/>
    <w:rsid w:val="00CC5F37"/>
    <w:rsid w:val="00CF0F5A"/>
    <w:rsid w:val="00CF5CDE"/>
    <w:rsid w:val="00D06CB7"/>
    <w:rsid w:val="00D13224"/>
    <w:rsid w:val="00D5376B"/>
    <w:rsid w:val="00D618EA"/>
    <w:rsid w:val="00D65A9C"/>
    <w:rsid w:val="00DC2A50"/>
    <w:rsid w:val="00DD3974"/>
    <w:rsid w:val="00DD74D7"/>
    <w:rsid w:val="00DF0F65"/>
    <w:rsid w:val="00E021BA"/>
    <w:rsid w:val="00E021D8"/>
    <w:rsid w:val="00E04EA0"/>
    <w:rsid w:val="00E31984"/>
    <w:rsid w:val="00E33758"/>
    <w:rsid w:val="00E47AD6"/>
    <w:rsid w:val="00E612E9"/>
    <w:rsid w:val="00E83911"/>
    <w:rsid w:val="00E87CF3"/>
    <w:rsid w:val="00E9677F"/>
    <w:rsid w:val="00EA2542"/>
    <w:rsid w:val="00EC6E37"/>
    <w:rsid w:val="00EC71AB"/>
    <w:rsid w:val="00F07A47"/>
    <w:rsid w:val="00F15004"/>
    <w:rsid w:val="00F25335"/>
    <w:rsid w:val="00F31FAB"/>
    <w:rsid w:val="00F426E5"/>
    <w:rsid w:val="00F532D1"/>
    <w:rsid w:val="00F637A6"/>
    <w:rsid w:val="00F70C7B"/>
    <w:rsid w:val="00FD0A06"/>
    <w:rsid w:val="00FD2140"/>
    <w:rsid w:val="00FD3AF3"/>
    <w:rsid w:val="00FD676B"/>
    <w:rsid w:val="00FF2748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668C"/>
  <w15:docId w15:val="{F00344AB-CFF2-4FAD-874B-65F8C66E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236"/>
    <w:pPr>
      <w:ind w:left="720"/>
      <w:contextualSpacing/>
    </w:pPr>
  </w:style>
  <w:style w:type="table" w:styleId="TableGrid">
    <w:name w:val="Table Grid"/>
    <w:basedOn w:val="TableNormal"/>
    <w:uiPriority w:val="59"/>
    <w:rsid w:val="000C5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A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F"/>
  </w:style>
  <w:style w:type="character" w:styleId="PageNumber">
    <w:name w:val="page number"/>
    <w:basedOn w:val="DefaultParagraphFont"/>
    <w:uiPriority w:val="99"/>
    <w:semiHidden/>
    <w:unhideWhenUsed/>
    <w:rsid w:val="007A492F"/>
  </w:style>
  <w:style w:type="paragraph" w:styleId="Header">
    <w:name w:val="header"/>
    <w:basedOn w:val="Normal"/>
    <w:link w:val="HeaderChar"/>
    <w:uiPriority w:val="99"/>
    <w:unhideWhenUsed/>
    <w:rsid w:val="007A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F"/>
  </w:style>
  <w:style w:type="paragraph" w:styleId="NoSpacing">
    <w:name w:val="No Spacing"/>
    <w:uiPriority w:val="1"/>
    <w:qFormat/>
    <w:rsid w:val="007C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8492-AB01-406F-B060-32A7ADA0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V V Murari</cp:lastModifiedBy>
  <cp:revision>2</cp:revision>
  <dcterms:created xsi:type="dcterms:W3CDTF">2018-01-23T12:26:00Z</dcterms:created>
  <dcterms:modified xsi:type="dcterms:W3CDTF">2018-01-23T12:26:00Z</dcterms:modified>
</cp:coreProperties>
</file>